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1A" w:rsidRPr="0041581A" w:rsidRDefault="0041581A" w:rsidP="0041581A">
      <w:pPr>
        <w:shd w:val="clear" w:color="auto" w:fill="FFFFFF"/>
        <w:spacing w:after="75" w:line="360" w:lineRule="atLeast"/>
        <w:textAlignment w:val="baseline"/>
        <w:outlineLvl w:val="1"/>
        <w:rPr>
          <w:rFonts w:ascii="Helvetica" w:eastAsia="Times New Roman" w:hAnsi="Helvetica" w:cs="Times New Roman"/>
          <w:b/>
          <w:bCs/>
          <w:color w:val="0088CC"/>
          <w:sz w:val="36"/>
          <w:szCs w:val="36"/>
          <w:lang w:val="es-419"/>
        </w:rPr>
      </w:pPr>
      <w:r w:rsidRPr="0041581A">
        <w:rPr>
          <w:rFonts w:ascii="Helvetica" w:eastAsia="Times New Roman" w:hAnsi="Helvetica" w:cs="Times New Roman"/>
          <w:b/>
          <w:bCs/>
          <w:color w:val="0088CC"/>
          <w:sz w:val="36"/>
          <w:szCs w:val="36"/>
          <w:lang w:val="es-419"/>
        </w:rPr>
        <w:t>¿Cuál es la mejor manera de establecer un historial de crédito?</w:t>
      </w:r>
    </w:p>
    <w:p w:rsidR="0041581A" w:rsidRPr="0041581A" w:rsidRDefault="0041581A" w:rsidP="0041581A">
      <w:pPr>
        <w:shd w:val="clear" w:color="auto" w:fill="FFFFFF"/>
        <w:spacing w:after="0" w:line="240" w:lineRule="auto"/>
        <w:textAlignment w:val="baseline"/>
        <w:rPr>
          <w:rFonts w:ascii="Arial" w:eastAsia="Times New Roman" w:hAnsi="Arial" w:cs="Arial"/>
          <w:color w:val="333333"/>
          <w:sz w:val="17"/>
          <w:szCs w:val="17"/>
          <w:lang w:val="es-419"/>
        </w:rPr>
      </w:pPr>
      <w:hyperlink r:id="rId5" w:history="1">
        <w:proofErr w:type="spellStart"/>
        <w:r w:rsidRPr="0041581A">
          <w:rPr>
            <w:rFonts w:ascii="inherit" w:eastAsia="Times New Roman" w:hAnsi="inherit" w:cs="Arial"/>
            <w:color w:val="0088CC"/>
            <w:sz w:val="17"/>
            <w:szCs w:val="17"/>
            <w:u w:val="single"/>
            <w:bdr w:val="none" w:sz="0" w:space="0" w:color="auto" w:frame="1"/>
            <w:lang w:val="es-419"/>
          </w:rPr>
          <w:t>Credito</w:t>
        </w:r>
        <w:proofErr w:type="spellEnd"/>
      </w:hyperlink>
      <w:r w:rsidRPr="0041581A">
        <w:rPr>
          <w:rFonts w:ascii="inherit" w:eastAsia="Times New Roman" w:hAnsi="inherit" w:cs="Arial"/>
          <w:color w:val="333333"/>
          <w:sz w:val="17"/>
          <w:szCs w:val="17"/>
          <w:bdr w:val="none" w:sz="0" w:space="0" w:color="auto" w:frame="1"/>
          <w:lang w:val="es-419"/>
        </w:rPr>
        <w:t> </w:t>
      </w:r>
      <w:hyperlink r:id="rId6" w:history="1">
        <w:r w:rsidRPr="0041581A">
          <w:rPr>
            <w:rFonts w:ascii="inherit" w:eastAsia="Times New Roman" w:hAnsi="inherit" w:cs="Arial"/>
            <w:color w:val="0088CC"/>
            <w:sz w:val="17"/>
            <w:szCs w:val="17"/>
            <w:u w:val="single"/>
            <w:bdr w:val="none" w:sz="0" w:space="0" w:color="auto" w:frame="1"/>
            <w:lang w:val="es-419"/>
          </w:rPr>
          <w:t>Consejos</w:t>
        </w:r>
      </w:hyperlink>
    </w:p>
    <w:p w:rsidR="0041581A" w:rsidRPr="0041581A" w:rsidRDefault="0041581A" w:rsidP="0041581A">
      <w:pPr>
        <w:shd w:val="clear" w:color="auto" w:fill="FFFFFF"/>
        <w:spacing w:line="240" w:lineRule="auto"/>
        <w:textAlignment w:val="baseline"/>
        <w:rPr>
          <w:rFonts w:ascii="inherit" w:eastAsia="Times New Roman" w:hAnsi="inherit" w:cs="Arial"/>
          <w:color w:val="333333"/>
          <w:sz w:val="17"/>
          <w:szCs w:val="17"/>
          <w:lang w:val="es-419"/>
        </w:rPr>
      </w:pPr>
      <w:r w:rsidRPr="0041581A">
        <w:rPr>
          <w:rFonts w:ascii="inherit" w:eastAsia="Times New Roman" w:hAnsi="inherit" w:cs="Arial"/>
          <w:color w:val="333333"/>
          <w:sz w:val="17"/>
          <w:szCs w:val="17"/>
          <w:lang w:val="es-419"/>
        </w:rPr>
        <w:t>Compartir</w:t>
      </w:r>
      <w:hyperlink r:id="rId7" w:tgtFrame="_blank" w:tooltip="Más..." w:history="1">
        <w:r w:rsidRPr="0041581A">
          <w:rPr>
            <w:rFonts w:ascii="Arial" w:eastAsia="Times New Roman" w:hAnsi="Arial" w:cs="Arial"/>
            <w:b/>
            <w:bCs/>
            <w:color w:val="333333"/>
            <w:sz w:val="17"/>
            <w:szCs w:val="17"/>
            <w:u w:val="single"/>
            <w:bdr w:val="none" w:sz="0" w:space="0" w:color="auto" w:frame="1"/>
            <w:lang w:val="es-419"/>
          </w:rPr>
          <w:t>5</w:t>
        </w:r>
      </w:hyperlink>
    </w:p>
    <w:p w:rsidR="0041581A" w:rsidRPr="0041581A" w:rsidRDefault="0041581A" w:rsidP="0041581A">
      <w:pPr>
        <w:shd w:val="clear" w:color="auto" w:fill="FFFFFF"/>
        <w:spacing w:after="0" w:line="240" w:lineRule="auto"/>
        <w:textAlignment w:val="baseline"/>
        <w:rPr>
          <w:rFonts w:ascii="Arial" w:eastAsia="Times New Roman" w:hAnsi="Arial" w:cs="Arial"/>
          <w:color w:val="333333"/>
          <w:sz w:val="24"/>
          <w:szCs w:val="24"/>
          <w:lang w:val="es-419"/>
        </w:rPr>
      </w:pPr>
      <w:r w:rsidRPr="0041581A">
        <w:rPr>
          <w:rFonts w:ascii="Arial" w:eastAsia="Times New Roman" w:hAnsi="Arial" w:cs="Arial"/>
          <w:color w:val="333333"/>
          <w:sz w:val="24"/>
          <w:szCs w:val="24"/>
          <w:lang w:val="es-419"/>
        </w:rPr>
        <w:t>¿Es usted uno de los 50 millones de estadounidenses con poco o ningún historial de crédito? Bueno, aquí hay algunas opciones para que usted pueda comenzar la construcción de ese “fino” en el archivo de las agencias de crédito.</w:t>
      </w:r>
    </w:p>
    <w:p w:rsidR="0041581A" w:rsidRPr="0041581A" w:rsidRDefault="0041581A" w:rsidP="0041581A">
      <w:pPr>
        <w:shd w:val="clear" w:color="auto" w:fill="FFFFFF"/>
        <w:spacing w:after="0" w:line="285" w:lineRule="atLeast"/>
        <w:textAlignment w:val="baseline"/>
        <w:outlineLvl w:val="2"/>
        <w:rPr>
          <w:rFonts w:ascii="Georgia" w:eastAsia="Times New Roman" w:hAnsi="Georgia" w:cs="Times New Roman"/>
          <w:b/>
          <w:bCs/>
          <w:color w:val="145B8F"/>
          <w:sz w:val="30"/>
          <w:szCs w:val="30"/>
        </w:rPr>
      </w:pPr>
      <w:proofErr w:type="spellStart"/>
      <w:r w:rsidRPr="0041581A">
        <w:rPr>
          <w:rFonts w:ascii="Georgia" w:eastAsia="Times New Roman" w:hAnsi="Georgia" w:cs="Times New Roman"/>
          <w:b/>
          <w:bCs/>
          <w:color w:val="145B8F"/>
          <w:sz w:val="30"/>
          <w:szCs w:val="30"/>
        </w:rPr>
        <w:t>Bancos</w:t>
      </w:r>
      <w:proofErr w:type="spellEnd"/>
      <w:r w:rsidRPr="0041581A">
        <w:rPr>
          <w:rFonts w:ascii="Georgia" w:eastAsia="Times New Roman" w:hAnsi="Georgia" w:cs="Times New Roman"/>
          <w:b/>
          <w:bCs/>
          <w:color w:val="145B8F"/>
          <w:sz w:val="30"/>
          <w:szCs w:val="30"/>
        </w:rPr>
        <w:t xml:space="preserve"> y </w:t>
      </w:r>
      <w:proofErr w:type="spellStart"/>
      <w:r w:rsidRPr="0041581A">
        <w:rPr>
          <w:rFonts w:ascii="Georgia" w:eastAsia="Times New Roman" w:hAnsi="Georgia" w:cs="Times New Roman"/>
          <w:b/>
          <w:bCs/>
          <w:color w:val="145B8F"/>
          <w:sz w:val="30"/>
          <w:szCs w:val="30"/>
        </w:rPr>
        <w:t>uniones</w:t>
      </w:r>
      <w:proofErr w:type="spellEnd"/>
      <w:r w:rsidRPr="0041581A">
        <w:rPr>
          <w:rFonts w:ascii="Georgia" w:eastAsia="Times New Roman" w:hAnsi="Georgia" w:cs="Times New Roman"/>
          <w:b/>
          <w:bCs/>
          <w:color w:val="145B8F"/>
          <w:sz w:val="30"/>
          <w:szCs w:val="30"/>
        </w:rPr>
        <w:t xml:space="preserve"> de </w:t>
      </w:r>
      <w:proofErr w:type="spellStart"/>
      <w:r w:rsidRPr="0041581A">
        <w:rPr>
          <w:rFonts w:ascii="Georgia" w:eastAsia="Times New Roman" w:hAnsi="Georgia" w:cs="Times New Roman"/>
          <w:b/>
          <w:bCs/>
          <w:color w:val="145B8F"/>
          <w:sz w:val="30"/>
          <w:szCs w:val="30"/>
        </w:rPr>
        <w:t>crédito</w:t>
      </w:r>
      <w:proofErr w:type="spellEnd"/>
    </w:p>
    <w:p w:rsidR="0041581A" w:rsidRPr="0041581A" w:rsidRDefault="0041581A" w:rsidP="0041581A">
      <w:pPr>
        <w:shd w:val="clear" w:color="auto" w:fill="FFFFFF"/>
        <w:spacing w:after="0" w:line="240" w:lineRule="auto"/>
        <w:textAlignment w:val="baseline"/>
        <w:rPr>
          <w:rFonts w:ascii="Arial" w:eastAsia="Times New Roman" w:hAnsi="Arial" w:cs="Arial"/>
          <w:color w:val="333333"/>
          <w:sz w:val="24"/>
          <w:szCs w:val="24"/>
          <w:lang w:val="es-419"/>
        </w:rPr>
      </w:pPr>
      <w:r w:rsidRPr="0041581A">
        <w:rPr>
          <w:rFonts w:ascii="Arial" w:eastAsia="Times New Roman" w:hAnsi="Arial" w:cs="Arial"/>
          <w:color w:val="333333"/>
          <w:sz w:val="24"/>
          <w:szCs w:val="24"/>
          <w:lang w:val="es-419"/>
        </w:rPr>
        <w:t>Establecer una cuenta de cheques y / o cuenta de ahorros en un banco o cooperativa de crédito. Si ya dispone de cuentas bancarias a continuación, consulte a su representante del banco sobre sus productos de tarjetas de crédito.</w:t>
      </w:r>
    </w:p>
    <w:p w:rsidR="0041581A" w:rsidRPr="0041581A" w:rsidRDefault="0041581A" w:rsidP="0041581A">
      <w:pPr>
        <w:shd w:val="clear" w:color="auto" w:fill="FFFFFF"/>
        <w:spacing w:after="0" w:line="285" w:lineRule="atLeast"/>
        <w:textAlignment w:val="baseline"/>
        <w:outlineLvl w:val="2"/>
        <w:rPr>
          <w:rFonts w:ascii="Georgia" w:eastAsia="Times New Roman" w:hAnsi="Georgia" w:cs="Times New Roman"/>
          <w:b/>
          <w:bCs/>
          <w:color w:val="145B8F"/>
          <w:sz w:val="30"/>
          <w:szCs w:val="30"/>
          <w:lang w:val="es-419"/>
        </w:rPr>
      </w:pPr>
      <w:r w:rsidRPr="0041581A">
        <w:rPr>
          <w:rFonts w:ascii="Georgia" w:eastAsia="Times New Roman" w:hAnsi="Georgia" w:cs="Times New Roman"/>
          <w:b/>
          <w:bCs/>
          <w:color w:val="145B8F"/>
          <w:sz w:val="30"/>
          <w:szCs w:val="30"/>
          <w:lang w:val="es-419"/>
        </w:rPr>
        <w:t>Con o sin garantía</w:t>
      </w:r>
      <w:proofErr w:type="gramStart"/>
      <w:r w:rsidRPr="0041581A">
        <w:rPr>
          <w:rFonts w:ascii="Georgia" w:eastAsia="Times New Roman" w:hAnsi="Georgia" w:cs="Times New Roman"/>
          <w:b/>
          <w:bCs/>
          <w:color w:val="145B8F"/>
          <w:sz w:val="30"/>
          <w:szCs w:val="30"/>
          <w:lang w:val="es-419"/>
        </w:rPr>
        <w:t>?</w:t>
      </w:r>
      <w:proofErr w:type="gramEnd"/>
    </w:p>
    <w:p w:rsidR="0041581A" w:rsidRPr="0041581A" w:rsidRDefault="0041581A" w:rsidP="0041581A">
      <w:pPr>
        <w:shd w:val="clear" w:color="auto" w:fill="FFFFFF"/>
        <w:spacing w:after="0" w:line="240" w:lineRule="auto"/>
        <w:textAlignment w:val="baseline"/>
        <w:rPr>
          <w:rFonts w:ascii="Arial" w:eastAsia="Times New Roman" w:hAnsi="Arial" w:cs="Arial"/>
          <w:color w:val="333333"/>
          <w:sz w:val="24"/>
          <w:szCs w:val="24"/>
          <w:lang w:val="es-419"/>
        </w:rPr>
      </w:pPr>
      <w:r w:rsidRPr="0041581A">
        <w:rPr>
          <w:rFonts w:ascii="Arial" w:eastAsia="Times New Roman" w:hAnsi="Arial" w:cs="Arial"/>
          <w:color w:val="333333"/>
          <w:sz w:val="24"/>
          <w:szCs w:val="24"/>
          <w:lang w:val="es-419"/>
        </w:rPr>
        <w:t xml:space="preserve">Las tarjetas de crédito puede ser “protegidos” por la cantidad que ha depositado en una cuenta contra la cual se basa la tarjeta de fondos, lo que suele ser su límite de </w:t>
      </w:r>
      <w:proofErr w:type="spellStart"/>
      <w:r w:rsidRPr="0041581A">
        <w:rPr>
          <w:rFonts w:ascii="Arial" w:eastAsia="Times New Roman" w:hAnsi="Arial" w:cs="Arial"/>
          <w:color w:val="333333"/>
          <w:sz w:val="24"/>
          <w:szCs w:val="24"/>
          <w:lang w:val="es-419"/>
        </w:rPr>
        <w:t>crédito.Asegúrese</w:t>
      </w:r>
      <w:proofErr w:type="spellEnd"/>
      <w:r w:rsidRPr="0041581A">
        <w:rPr>
          <w:rFonts w:ascii="Arial" w:eastAsia="Times New Roman" w:hAnsi="Arial" w:cs="Arial"/>
          <w:color w:val="333333"/>
          <w:sz w:val="24"/>
          <w:szCs w:val="24"/>
          <w:lang w:val="es-419"/>
        </w:rPr>
        <w:t xml:space="preserve"> de que los informes tarjeta asegurada para las agencias de crédito, así que usted puede estar seguro de que va a crear un historial de crédito mientras usa la tarjeta y hacer los pagos. Después de un año del uso de la tarjeta asegurada, debe ser capaz de “graduarse” a una “garantía” de la tarjeta. Asegúrese de comparar la tasa de los mejores términos con los bajos honorarios. Echa un vistazo a estos sitios web para obtener más información </w:t>
      </w:r>
      <w:hyperlink r:id="rId8" w:history="1">
        <w:r w:rsidRPr="0041581A">
          <w:rPr>
            <w:rFonts w:ascii="inherit" w:eastAsia="Times New Roman" w:hAnsi="inherit" w:cs="Arial"/>
            <w:color w:val="0088CC"/>
            <w:sz w:val="24"/>
            <w:szCs w:val="24"/>
            <w:u w:val="single"/>
            <w:bdr w:val="none" w:sz="0" w:space="0" w:color="auto" w:frame="1"/>
            <w:lang w:val="es-419"/>
          </w:rPr>
          <w:t>www.bankrate.com</w:t>
        </w:r>
      </w:hyperlink>
      <w:r w:rsidRPr="0041581A">
        <w:rPr>
          <w:rFonts w:ascii="Arial" w:eastAsia="Times New Roman" w:hAnsi="Arial" w:cs="Arial"/>
          <w:color w:val="333333"/>
          <w:sz w:val="24"/>
          <w:szCs w:val="24"/>
          <w:lang w:val="es-419"/>
        </w:rPr>
        <w:t> y </w:t>
      </w:r>
      <w:hyperlink r:id="rId9" w:history="1">
        <w:r w:rsidRPr="0041581A">
          <w:rPr>
            <w:rFonts w:ascii="inherit" w:eastAsia="Times New Roman" w:hAnsi="inherit" w:cs="Arial"/>
            <w:color w:val="0088CC"/>
            <w:sz w:val="24"/>
            <w:szCs w:val="24"/>
            <w:u w:val="single"/>
            <w:bdr w:val="none" w:sz="0" w:space="0" w:color="auto" w:frame="1"/>
            <w:lang w:val="es-419"/>
          </w:rPr>
          <w:t>www.myfico.com</w:t>
        </w:r>
      </w:hyperlink>
      <w:r w:rsidRPr="0041581A">
        <w:rPr>
          <w:rFonts w:ascii="Arial" w:eastAsia="Times New Roman" w:hAnsi="Arial" w:cs="Arial"/>
          <w:color w:val="333333"/>
          <w:sz w:val="24"/>
          <w:szCs w:val="24"/>
          <w:lang w:val="es-419"/>
        </w:rPr>
        <w:t> Tarjeta de Crédito Centro.</w:t>
      </w:r>
    </w:p>
    <w:p w:rsidR="0041581A" w:rsidRPr="0041581A" w:rsidRDefault="0041581A" w:rsidP="0041581A">
      <w:pPr>
        <w:shd w:val="clear" w:color="auto" w:fill="FFFFFF"/>
        <w:spacing w:after="0" w:line="285" w:lineRule="atLeast"/>
        <w:textAlignment w:val="baseline"/>
        <w:outlineLvl w:val="2"/>
        <w:rPr>
          <w:rFonts w:ascii="Georgia" w:eastAsia="Times New Roman" w:hAnsi="Georgia" w:cs="Times New Roman"/>
          <w:b/>
          <w:bCs/>
          <w:color w:val="145B8F"/>
          <w:sz w:val="30"/>
          <w:szCs w:val="30"/>
          <w:lang w:val="es-419"/>
        </w:rPr>
      </w:pPr>
      <w:r w:rsidRPr="0041581A">
        <w:rPr>
          <w:rFonts w:ascii="Georgia" w:eastAsia="Times New Roman" w:hAnsi="Georgia" w:cs="Times New Roman"/>
          <w:b/>
          <w:bCs/>
          <w:color w:val="145B8F"/>
          <w:sz w:val="30"/>
          <w:szCs w:val="30"/>
          <w:lang w:val="es-419"/>
        </w:rPr>
        <w:t>Historia alternativa de pago</w:t>
      </w:r>
    </w:p>
    <w:p w:rsidR="0041581A" w:rsidRPr="0041581A" w:rsidRDefault="0041581A" w:rsidP="0041581A">
      <w:pPr>
        <w:shd w:val="clear" w:color="auto" w:fill="FFFFFF"/>
        <w:spacing w:after="0" w:line="240" w:lineRule="auto"/>
        <w:textAlignment w:val="baseline"/>
        <w:rPr>
          <w:rFonts w:ascii="Arial" w:eastAsia="Times New Roman" w:hAnsi="Arial" w:cs="Arial"/>
          <w:color w:val="333333"/>
          <w:sz w:val="24"/>
          <w:szCs w:val="24"/>
          <w:lang w:val="es-419"/>
        </w:rPr>
      </w:pPr>
      <w:proofErr w:type="gramStart"/>
      <w:r w:rsidRPr="0041581A">
        <w:rPr>
          <w:rFonts w:ascii="Arial" w:eastAsia="Times New Roman" w:hAnsi="Arial" w:cs="Arial"/>
          <w:color w:val="333333"/>
          <w:sz w:val="24"/>
          <w:szCs w:val="24"/>
          <w:lang w:val="es-419"/>
        </w:rPr>
        <w:t>la</w:t>
      </w:r>
      <w:proofErr w:type="gramEnd"/>
      <w:r w:rsidRPr="0041581A">
        <w:rPr>
          <w:rFonts w:ascii="Arial" w:eastAsia="Times New Roman" w:hAnsi="Arial" w:cs="Arial"/>
          <w:color w:val="333333"/>
          <w:sz w:val="24"/>
          <w:szCs w:val="24"/>
          <w:lang w:val="es-419"/>
        </w:rPr>
        <w:t xml:space="preserve"> historia alternativa de pago no se informe a los informes de nuestro crédito. Por ejemplo: alquilar, cuidado de niños, hipotecas privadas, los prestamistas de día de pago, gas, electricidad, agua y servicios de teléfono y televisión por cable para nombrar unos </w:t>
      </w:r>
      <w:proofErr w:type="spellStart"/>
      <w:r w:rsidRPr="0041581A">
        <w:rPr>
          <w:rFonts w:ascii="Arial" w:eastAsia="Times New Roman" w:hAnsi="Arial" w:cs="Arial"/>
          <w:color w:val="333333"/>
          <w:sz w:val="24"/>
          <w:szCs w:val="24"/>
          <w:lang w:val="es-419"/>
        </w:rPr>
        <w:t>pocos.Hay</w:t>
      </w:r>
      <w:proofErr w:type="spellEnd"/>
      <w:r w:rsidRPr="0041581A">
        <w:rPr>
          <w:rFonts w:ascii="Arial" w:eastAsia="Times New Roman" w:hAnsi="Arial" w:cs="Arial"/>
          <w:color w:val="333333"/>
          <w:sz w:val="24"/>
          <w:szCs w:val="24"/>
          <w:lang w:val="es-419"/>
        </w:rPr>
        <w:t xml:space="preserve"> empresas basadas en la Web que ayudan a los consumidores obtener su historial de pagos alternativos informó:</w:t>
      </w:r>
    </w:p>
    <w:p w:rsidR="0041581A" w:rsidRPr="0041581A" w:rsidRDefault="0041581A" w:rsidP="0041581A">
      <w:pPr>
        <w:shd w:val="clear" w:color="auto" w:fill="FFFFFF"/>
        <w:spacing w:after="0" w:line="240" w:lineRule="auto"/>
        <w:textAlignment w:val="baseline"/>
        <w:rPr>
          <w:rFonts w:ascii="Arial" w:eastAsia="Times New Roman" w:hAnsi="Arial" w:cs="Arial"/>
          <w:color w:val="333333"/>
          <w:sz w:val="24"/>
          <w:szCs w:val="24"/>
          <w:lang w:val="es-419"/>
        </w:rPr>
      </w:pPr>
      <w:r w:rsidRPr="0041581A">
        <w:rPr>
          <w:rFonts w:ascii="inherit" w:eastAsia="Times New Roman" w:hAnsi="inherit" w:cs="Arial"/>
          <w:b/>
          <w:bCs/>
          <w:color w:val="333333"/>
          <w:sz w:val="24"/>
          <w:szCs w:val="24"/>
          <w:bdr w:val="none" w:sz="0" w:space="0" w:color="auto" w:frame="1"/>
          <w:lang w:val="es-419"/>
        </w:rPr>
        <w:t>Genera informes de crédito de pago (PRBC)</w:t>
      </w:r>
      <w:r w:rsidRPr="0041581A">
        <w:rPr>
          <w:rFonts w:ascii="Arial" w:eastAsia="Times New Roman" w:hAnsi="Arial" w:cs="Arial"/>
          <w:color w:val="333333"/>
          <w:sz w:val="24"/>
          <w:szCs w:val="24"/>
          <w:lang w:val="es-419"/>
        </w:rPr>
        <w:t> </w:t>
      </w:r>
      <w:hyperlink r:id="rId10" w:history="1">
        <w:r w:rsidRPr="0041581A">
          <w:rPr>
            <w:rFonts w:ascii="inherit" w:eastAsia="Times New Roman" w:hAnsi="inherit" w:cs="Arial"/>
            <w:color w:val="0088CC"/>
            <w:sz w:val="24"/>
            <w:szCs w:val="24"/>
            <w:u w:val="single"/>
            <w:bdr w:val="none" w:sz="0" w:space="0" w:color="auto" w:frame="1"/>
            <w:lang w:val="es-419"/>
          </w:rPr>
          <w:t>www.prbc.com</w:t>
        </w:r>
      </w:hyperlink>
      <w:r w:rsidRPr="0041581A">
        <w:rPr>
          <w:rFonts w:ascii="Arial" w:eastAsia="Times New Roman" w:hAnsi="Arial" w:cs="Arial"/>
          <w:color w:val="333333"/>
          <w:sz w:val="24"/>
          <w:szCs w:val="24"/>
          <w:lang w:val="es-419"/>
        </w:rPr>
        <w:t> esta empresa privada es un servicio de ayuda basada en web que sí permite a los consumidores y propietarios de negocios pequeños a construir sus calificaciones de crédito a través de alquiler a tiempo, la hipoteca y otros pagos de cuentas recurrentes. El consumidor dispone de datos directamente.</w:t>
      </w:r>
    </w:p>
    <w:p w:rsidR="0041581A" w:rsidRPr="0041581A" w:rsidRDefault="0041581A" w:rsidP="0041581A">
      <w:pPr>
        <w:shd w:val="clear" w:color="auto" w:fill="FFFFFF"/>
        <w:spacing w:after="0" w:line="240" w:lineRule="auto"/>
        <w:textAlignment w:val="baseline"/>
        <w:rPr>
          <w:rFonts w:ascii="Arial" w:eastAsia="Times New Roman" w:hAnsi="Arial" w:cs="Arial"/>
          <w:color w:val="333333"/>
          <w:sz w:val="24"/>
          <w:szCs w:val="24"/>
          <w:lang w:val="es-419"/>
        </w:rPr>
      </w:pPr>
      <w:r w:rsidRPr="0041581A">
        <w:rPr>
          <w:rFonts w:ascii="inherit" w:eastAsia="Times New Roman" w:hAnsi="inherit" w:cs="Arial"/>
          <w:b/>
          <w:bCs/>
          <w:color w:val="333333"/>
          <w:sz w:val="24"/>
          <w:szCs w:val="24"/>
          <w:bdr w:val="none" w:sz="0" w:space="0" w:color="auto" w:frame="1"/>
          <w:lang w:val="es-419"/>
        </w:rPr>
        <w:t>Rentreporters.com</w:t>
      </w:r>
      <w:r w:rsidRPr="0041581A">
        <w:rPr>
          <w:rFonts w:ascii="Arial" w:eastAsia="Times New Roman" w:hAnsi="Arial" w:cs="Arial"/>
          <w:color w:val="333333"/>
          <w:sz w:val="24"/>
          <w:szCs w:val="24"/>
          <w:lang w:val="es-419"/>
        </w:rPr>
        <w:t> </w:t>
      </w:r>
      <w:hyperlink r:id="rId11" w:history="1">
        <w:r w:rsidRPr="0041581A">
          <w:rPr>
            <w:rFonts w:ascii="inherit" w:eastAsia="Times New Roman" w:hAnsi="inherit" w:cs="Arial"/>
            <w:color w:val="0088CC"/>
            <w:sz w:val="24"/>
            <w:szCs w:val="24"/>
            <w:u w:val="single"/>
            <w:bdr w:val="none" w:sz="0" w:space="0" w:color="auto" w:frame="1"/>
            <w:lang w:val="es-419"/>
          </w:rPr>
          <w:t>www.rentreporters.com</w:t>
        </w:r>
      </w:hyperlink>
      <w:r w:rsidRPr="0041581A">
        <w:rPr>
          <w:rFonts w:ascii="Arial" w:eastAsia="Times New Roman" w:hAnsi="Arial" w:cs="Arial"/>
          <w:color w:val="333333"/>
          <w:sz w:val="24"/>
          <w:szCs w:val="24"/>
          <w:lang w:val="es-419"/>
        </w:rPr>
        <w:t> este es un ejemplo de una de las muchas empresas privadas cuyo modelo de negocio es que el arrendatario pagar para obtener sus pagos de alquiler verificado con su propietario, a continuación, esta empresa envía su historia junto a las oficinas.</w:t>
      </w:r>
    </w:p>
    <w:p w:rsidR="0041581A" w:rsidRPr="0041581A" w:rsidRDefault="0041581A" w:rsidP="0041581A">
      <w:pPr>
        <w:shd w:val="clear" w:color="auto" w:fill="FFFFFF"/>
        <w:spacing w:after="0" w:line="240" w:lineRule="auto"/>
        <w:textAlignment w:val="baseline"/>
        <w:rPr>
          <w:rFonts w:ascii="Arial" w:eastAsia="Times New Roman" w:hAnsi="Arial" w:cs="Arial"/>
          <w:color w:val="333333"/>
          <w:sz w:val="24"/>
          <w:szCs w:val="24"/>
          <w:lang w:val="es-419"/>
        </w:rPr>
      </w:pPr>
      <w:r w:rsidRPr="0041581A">
        <w:rPr>
          <w:rFonts w:ascii="inherit" w:eastAsia="Times New Roman" w:hAnsi="inherit" w:cs="Arial"/>
          <w:b/>
          <w:bCs/>
          <w:color w:val="333333"/>
          <w:sz w:val="24"/>
          <w:szCs w:val="24"/>
          <w:bdr w:val="none" w:sz="0" w:space="0" w:color="auto" w:frame="1"/>
          <w:lang w:val="es-419"/>
        </w:rPr>
        <w:t>FICO ™ “Expansión” Puntuación</w:t>
      </w:r>
      <w:r w:rsidRPr="0041581A">
        <w:rPr>
          <w:rFonts w:ascii="Arial" w:eastAsia="Times New Roman" w:hAnsi="Arial" w:cs="Arial"/>
          <w:color w:val="333333"/>
          <w:sz w:val="24"/>
          <w:szCs w:val="24"/>
          <w:lang w:val="es-419"/>
        </w:rPr>
        <w:t xml:space="preserve"> una puntuación basada en la no-tradicionales (es decir, las oficinas de crédito no) de datos, tales como préstamos de día de pago, planes de pago de compra, o cuentas de depósito. La puntuación de expansión no utiliza los pagos del alquiler. En este escrito, no es posible para los consumidores a tirar de sus resultados de expansión de </w:t>
      </w:r>
      <w:proofErr w:type="spellStart"/>
      <w:r w:rsidRPr="0041581A">
        <w:rPr>
          <w:rFonts w:ascii="Arial" w:eastAsia="Times New Roman" w:hAnsi="Arial" w:cs="Arial"/>
          <w:color w:val="333333"/>
          <w:sz w:val="24"/>
          <w:szCs w:val="24"/>
          <w:lang w:val="es-419"/>
        </w:rPr>
        <w:t>myFICO</w:t>
      </w:r>
      <w:proofErr w:type="spellEnd"/>
      <w:r w:rsidRPr="0041581A">
        <w:rPr>
          <w:rFonts w:ascii="Arial" w:eastAsia="Times New Roman" w:hAnsi="Arial" w:cs="Arial"/>
          <w:color w:val="333333"/>
          <w:sz w:val="24"/>
          <w:szCs w:val="24"/>
          <w:lang w:val="es-419"/>
        </w:rPr>
        <w:t xml:space="preserve"> ®. </w:t>
      </w:r>
      <w:proofErr w:type="spellStart"/>
      <w:r w:rsidRPr="0041581A">
        <w:rPr>
          <w:rFonts w:ascii="Arial" w:eastAsia="Times New Roman" w:hAnsi="Arial" w:cs="Arial"/>
          <w:color w:val="333333"/>
          <w:sz w:val="24"/>
          <w:szCs w:val="24"/>
          <w:lang w:val="es-419"/>
        </w:rPr>
        <w:t>Com</w:t>
      </w:r>
      <w:proofErr w:type="spellEnd"/>
      <w:r w:rsidRPr="0041581A">
        <w:rPr>
          <w:rFonts w:ascii="Arial" w:eastAsia="Times New Roman" w:hAnsi="Arial" w:cs="Arial"/>
          <w:color w:val="333333"/>
          <w:sz w:val="24"/>
          <w:szCs w:val="24"/>
          <w:lang w:val="es-419"/>
        </w:rPr>
        <w:t>, pero el resultado está a disposición de los prestamistas que se suscriben a él desde FICO ™. Cuando la compra de crédito o un préstamo, los consumidores pueden pedir los acreedores y prestamistas si son abonados, y si las directrices de préstamo permite el uso de la puntuación de expansión en la determinación de la solvencia.</w:t>
      </w:r>
    </w:p>
    <w:p w:rsidR="0041581A" w:rsidRPr="0041581A" w:rsidRDefault="0041581A" w:rsidP="0041581A">
      <w:pPr>
        <w:shd w:val="clear" w:color="auto" w:fill="FFFFFF"/>
        <w:spacing w:after="0" w:line="240" w:lineRule="auto"/>
        <w:textAlignment w:val="baseline"/>
        <w:rPr>
          <w:rFonts w:ascii="Arial" w:eastAsia="Times New Roman" w:hAnsi="Arial" w:cs="Arial"/>
          <w:color w:val="333333"/>
          <w:sz w:val="24"/>
          <w:szCs w:val="24"/>
          <w:lang w:val="es-419"/>
        </w:rPr>
      </w:pPr>
      <w:r w:rsidRPr="0041581A">
        <w:rPr>
          <w:rFonts w:ascii="inherit" w:eastAsia="Times New Roman" w:hAnsi="inherit" w:cs="Arial"/>
          <w:b/>
          <w:bCs/>
          <w:color w:val="333333"/>
          <w:sz w:val="24"/>
          <w:szCs w:val="24"/>
          <w:bdr w:val="none" w:sz="0" w:space="0" w:color="auto" w:frame="1"/>
          <w:lang w:val="es-419"/>
        </w:rPr>
        <w:t>Himno Informe y el nivel de Himno</w:t>
      </w:r>
      <w:r w:rsidRPr="0041581A">
        <w:rPr>
          <w:rFonts w:ascii="Arial" w:eastAsia="Times New Roman" w:hAnsi="Arial" w:cs="Arial"/>
          <w:color w:val="333333"/>
          <w:sz w:val="24"/>
          <w:szCs w:val="24"/>
          <w:lang w:val="es-419"/>
        </w:rPr>
        <w:t> </w:t>
      </w:r>
      <w:hyperlink r:id="rId12" w:history="1">
        <w:r w:rsidRPr="0041581A">
          <w:rPr>
            <w:rFonts w:ascii="inherit" w:eastAsia="Times New Roman" w:hAnsi="inherit" w:cs="Arial"/>
            <w:color w:val="0088CC"/>
            <w:sz w:val="24"/>
            <w:szCs w:val="24"/>
            <w:u w:val="single"/>
            <w:bdr w:val="none" w:sz="0" w:space="0" w:color="auto" w:frame="1"/>
            <w:lang w:val="es-419"/>
          </w:rPr>
          <w:t>www.credco.com</w:t>
        </w:r>
      </w:hyperlink>
      <w:r w:rsidRPr="0041581A">
        <w:rPr>
          <w:rFonts w:ascii="Arial" w:eastAsia="Times New Roman" w:hAnsi="Arial" w:cs="Arial"/>
          <w:color w:val="333333"/>
          <w:sz w:val="24"/>
          <w:szCs w:val="24"/>
          <w:lang w:val="es-419"/>
        </w:rPr>
        <w:t xml:space="preserve"> El Informe Himno es un tipo de triple combinación de informe que se complementa con la historia alternativa de los datos de pago para los prestatarios sin historial de crédito o muy poco. Su </w:t>
      </w:r>
      <w:proofErr w:type="spellStart"/>
      <w:r w:rsidRPr="0041581A">
        <w:rPr>
          <w:rFonts w:ascii="Arial" w:eastAsia="Times New Roman" w:hAnsi="Arial" w:cs="Arial"/>
          <w:color w:val="333333"/>
          <w:sz w:val="24"/>
          <w:szCs w:val="24"/>
          <w:lang w:val="es-419"/>
        </w:rPr>
        <w:t>Anthem</w:t>
      </w:r>
      <w:proofErr w:type="spellEnd"/>
      <w:r w:rsidRPr="0041581A">
        <w:rPr>
          <w:rFonts w:ascii="Arial" w:eastAsia="Times New Roman" w:hAnsi="Arial" w:cs="Arial"/>
          <w:color w:val="333333"/>
          <w:sz w:val="24"/>
          <w:szCs w:val="24"/>
          <w:lang w:val="es-419"/>
        </w:rPr>
        <w:t xml:space="preserve"> Score también se basa en el historial de pagos no tradicionales que se evalúa la historia del prestatario de pago, la duración de la historia, y el tipo de pagos (por ejemplo, alquiler, factura de gas, factura de teléfono, etc.)</w:t>
      </w:r>
    </w:p>
    <w:p w:rsidR="00C43091" w:rsidRDefault="00C43091">
      <w:pPr>
        <w:rPr>
          <w:lang w:val="es-419"/>
        </w:rPr>
      </w:pPr>
    </w:p>
    <w:p w:rsidR="0041581A" w:rsidRDefault="0041581A">
      <w:pPr>
        <w:rPr>
          <w:lang w:val="es-419"/>
        </w:rPr>
      </w:pPr>
      <w:r>
        <w:rPr>
          <w:lang w:val="es-419"/>
        </w:rPr>
        <w:t xml:space="preserve">Fuente: </w:t>
      </w:r>
      <w:hyperlink r:id="rId13" w:history="1">
        <w:r w:rsidRPr="00FA7D23">
          <w:rPr>
            <w:rStyle w:val="Hyperlink"/>
            <w:lang w:val="es-419"/>
          </w:rPr>
          <w:t>www.deuda.org</w:t>
        </w:r>
      </w:hyperlink>
    </w:p>
    <w:p w:rsidR="0041581A" w:rsidRDefault="0041581A">
      <w:pPr>
        <w:rPr>
          <w:lang w:val="es-419"/>
        </w:rPr>
      </w:pPr>
    </w:p>
    <w:p w:rsidR="0041581A" w:rsidRPr="0041581A" w:rsidRDefault="0041581A" w:rsidP="0041581A">
      <w:pPr>
        <w:spacing w:before="100" w:beforeAutospacing="1" w:after="100" w:afterAutospacing="1" w:line="240" w:lineRule="auto"/>
        <w:outlineLvl w:val="1"/>
        <w:rPr>
          <w:rFonts w:ascii="Times New Roman" w:eastAsia="Times New Roman" w:hAnsi="Times New Roman" w:cs="Times New Roman"/>
          <w:b/>
          <w:bCs/>
          <w:color w:val="154285"/>
          <w:sz w:val="30"/>
          <w:szCs w:val="30"/>
          <w:lang w:val="es-419"/>
        </w:rPr>
      </w:pPr>
      <w:r w:rsidRPr="0041581A">
        <w:rPr>
          <w:rFonts w:ascii="Times New Roman" w:eastAsia="Times New Roman" w:hAnsi="Times New Roman" w:cs="Times New Roman"/>
          <w:b/>
          <w:bCs/>
          <w:color w:val="154285"/>
          <w:sz w:val="30"/>
          <w:szCs w:val="30"/>
          <w:lang w:val="es-419"/>
        </w:rPr>
        <w:lastRenderedPageBreak/>
        <w:t>Cómo comenzar su historial de crédito</w:t>
      </w:r>
    </w:p>
    <w:p w:rsidR="0041581A" w:rsidRPr="0041581A" w:rsidRDefault="0041581A" w:rsidP="0041581A">
      <w:pPr>
        <w:shd w:val="clear" w:color="auto" w:fill="FFFFFF"/>
        <w:spacing w:after="0" w:line="240" w:lineRule="auto"/>
        <w:rPr>
          <w:rFonts w:ascii="Tahoma" w:eastAsia="Times New Roman" w:hAnsi="Tahoma" w:cs="Tahoma"/>
          <w:color w:val="000000"/>
          <w:lang w:val="es-419"/>
        </w:rPr>
      </w:pPr>
      <w:r w:rsidRPr="0041581A">
        <w:rPr>
          <w:rFonts w:ascii="Tahoma" w:eastAsia="Times New Roman" w:hAnsi="Tahoma" w:cs="Tahoma"/>
          <w:color w:val="000000"/>
          <w:lang w:val="es-419"/>
        </w:rPr>
        <w:t>Con un buen </w:t>
      </w:r>
      <w:hyperlink r:id="rId14" w:anchor="!qué-es" w:history="1">
        <w:r w:rsidRPr="0041581A">
          <w:rPr>
            <w:rFonts w:ascii="Tahoma" w:eastAsia="Times New Roman" w:hAnsi="Tahoma" w:cs="Tahoma"/>
            <w:color w:val="595959"/>
            <w:u w:val="single"/>
            <w:lang w:val="es-419"/>
          </w:rPr>
          <w:t>historial de crédito</w:t>
        </w:r>
      </w:hyperlink>
      <w:r w:rsidRPr="0041581A">
        <w:rPr>
          <w:rFonts w:ascii="Tahoma" w:eastAsia="Times New Roman" w:hAnsi="Tahoma" w:cs="Tahoma"/>
          <w:color w:val="000000"/>
          <w:lang w:val="es-419"/>
        </w:rPr>
        <w:t> puede ser más fácil conseguir un trabajo, apartamento o incluso una tarjeta de crédito. Sin embargo, establecer y mantener un buen crédito requiere disciplina y planeamiento.</w:t>
      </w:r>
    </w:p>
    <w:p w:rsidR="0041581A" w:rsidRDefault="0041581A" w:rsidP="0041581A">
      <w:pPr>
        <w:shd w:val="clear" w:color="auto" w:fill="FFFFFF"/>
        <w:spacing w:after="0" w:line="240" w:lineRule="auto"/>
        <w:rPr>
          <w:rFonts w:ascii="Tahoma" w:eastAsia="Times New Roman" w:hAnsi="Tahoma" w:cs="Tahoma"/>
          <w:color w:val="000000"/>
          <w:lang w:val="es-419"/>
        </w:rPr>
      </w:pPr>
      <w:r w:rsidRPr="0041581A">
        <w:rPr>
          <w:rFonts w:ascii="Tahoma" w:eastAsia="Times New Roman" w:hAnsi="Tahoma" w:cs="Tahoma"/>
          <w:color w:val="000000"/>
          <w:lang w:val="es-419"/>
        </w:rPr>
        <w:t>Comprenda el estado de su cuenta y </w:t>
      </w:r>
      <w:hyperlink w:history="1">
        <w:r w:rsidRPr="0041581A">
          <w:rPr>
            <w:rFonts w:ascii="Tahoma" w:eastAsia="Times New Roman" w:hAnsi="Tahoma" w:cs="Tahoma"/>
            <w:color w:val="595959"/>
            <w:u w:val="single"/>
            <w:lang w:val="es-419"/>
          </w:rPr>
          <w:t>cómo monitorear su tarjeta de crédito</w:t>
        </w:r>
      </w:hyperlink>
      <w:r w:rsidRPr="0041581A">
        <w:rPr>
          <w:rFonts w:ascii="Tahoma" w:eastAsia="Times New Roman" w:hAnsi="Tahoma" w:cs="Tahoma"/>
          <w:color w:val="000000"/>
          <w:lang w:val="es-419"/>
        </w:rPr>
        <w:t>. Además, infórmese cómo </w:t>
      </w:r>
      <w:hyperlink r:id="rId15" w:history="1">
        <w:r w:rsidRPr="0041581A">
          <w:rPr>
            <w:rFonts w:ascii="Tahoma" w:eastAsia="Times New Roman" w:hAnsi="Tahoma" w:cs="Tahoma"/>
            <w:color w:val="595959"/>
            <w:u w:val="single"/>
            <w:lang w:val="es-419"/>
          </w:rPr>
          <w:t>iniciar y mantener su crédito</w:t>
        </w:r>
      </w:hyperlink>
      <w:r w:rsidRPr="0041581A">
        <w:rPr>
          <w:rFonts w:ascii="Tahoma" w:eastAsia="Times New Roman" w:hAnsi="Tahoma" w:cs="Tahoma"/>
          <w:color w:val="000000"/>
          <w:lang w:val="es-419"/>
        </w:rPr>
        <w:t> o </w:t>
      </w:r>
      <w:hyperlink r:id="rId16" w:history="1">
        <w:r w:rsidRPr="0041581A">
          <w:rPr>
            <w:rFonts w:ascii="Tahoma" w:eastAsia="Times New Roman" w:hAnsi="Tahoma" w:cs="Tahoma"/>
            <w:color w:val="595959"/>
            <w:u w:val="single"/>
            <w:lang w:val="es-419"/>
          </w:rPr>
          <w:t>ayudar a sus hijos a iniciar el propio</w:t>
        </w:r>
      </w:hyperlink>
      <w:r w:rsidRPr="0041581A">
        <w:rPr>
          <w:rFonts w:ascii="Tahoma" w:eastAsia="Times New Roman" w:hAnsi="Tahoma" w:cs="Tahoma"/>
          <w:color w:val="000000"/>
          <w:lang w:val="es-419"/>
        </w:rPr>
        <w:t>. </w:t>
      </w:r>
    </w:p>
    <w:p w:rsidR="0041581A" w:rsidRPr="0041581A" w:rsidRDefault="0041581A" w:rsidP="0041581A">
      <w:pPr>
        <w:shd w:val="clear" w:color="auto" w:fill="FFFFFF"/>
        <w:spacing w:after="0" w:line="240" w:lineRule="auto"/>
        <w:rPr>
          <w:rFonts w:ascii="Tahoma" w:eastAsia="Times New Roman" w:hAnsi="Tahoma" w:cs="Tahoma"/>
          <w:color w:val="000000"/>
          <w:lang w:val="es-419"/>
        </w:rPr>
      </w:pPr>
    </w:p>
    <w:p w:rsidR="0041581A" w:rsidRPr="0041581A" w:rsidRDefault="0041581A" w:rsidP="0041581A">
      <w:pPr>
        <w:shd w:val="clear" w:color="auto" w:fill="FFFFFF"/>
        <w:spacing w:after="0" w:line="240" w:lineRule="auto"/>
        <w:outlineLvl w:val="2"/>
        <w:rPr>
          <w:rFonts w:ascii="Tahoma" w:eastAsia="Times New Roman" w:hAnsi="Tahoma" w:cs="Tahoma"/>
          <w:b/>
          <w:bCs/>
          <w:color w:val="4B4A4F"/>
          <w:sz w:val="24"/>
          <w:szCs w:val="24"/>
          <w:lang w:val="es-419"/>
        </w:rPr>
      </w:pPr>
      <w:r w:rsidRPr="0041581A">
        <w:rPr>
          <w:rFonts w:ascii="Tahoma" w:eastAsia="Times New Roman" w:hAnsi="Tahoma" w:cs="Tahoma"/>
          <w:b/>
          <w:bCs/>
          <w:color w:val="4B4A4F"/>
          <w:sz w:val="24"/>
          <w:szCs w:val="24"/>
          <w:lang w:val="es-419"/>
        </w:rPr>
        <w:t>Tarjetas de crédito </w:t>
      </w:r>
    </w:p>
    <w:p w:rsidR="0041581A" w:rsidRPr="0041581A" w:rsidRDefault="0041581A" w:rsidP="0041581A">
      <w:pPr>
        <w:shd w:val="clear" w:color="auto" w:fill="FFFFFF"/>
        <w:spacing w:after="0" w:line="240" w:lineRule="auto"/>
        <w:rPr>
          <w:rFonts w:ascii="Tahoma" w:eastAsia="Times New Roman" w:hAnsi="Tahoma" w:cs="Tahoma"/>
          <w:color w:val="000000"/>
          <w:lang w:val="es-419"/>
        </w:rPr>
      </w:pPr>
      <w:r w:rsidRPr="0041581A">
        <w:rPr>
          <w:rFonts w:ascii="Tahoma" w:eastAsia="Times New Roman" w:hAnsi="Tahoma" w:cs="Tahoma"/>
          <w:color w:val="000000"/>
          <w:lang w:val="es-419"/>
        </w:rPr>
        <w:t>Antes de pedir créditos o préstamos, </w:t>
      </w:r>
      <w:hyperlink r:id="rId17" w:history="1">
        <w:r w:rsidRPr="0041581A">
          <w:rPr>
            <w:rFonts w:ascii="Tahoma" w:eastAsia="Times New Roman" w:hAnsi="Tahoma" w:cs="Tahoma"/>
            <w:color w:val="595959"/>
            <w:u w:val="single"/>
            <w:lang w:val="es-419"/>
          </w:rPr>
          <w:t>asegúrese de verificar</w:t>
        </w:r>
      </w:hyperlink>
      <w:r w:rsidRPr="0041581A">
        <w:rPr>
          <w:rFonts w:ascii="Tahoma" w:eastAsia="Times New Roman" w:hAnsi="Tahoma" w:cs="Tahoma"/>
          <w:color w:val="000000"/>
          <w:lang w:val="es-419"/>
        </w:rPr>
        <w:t> si las condiciones que le ofrecen son favorables y confiables.</w:t>
      </w:r>
    </w:p>
    <w:p w:rsidR="0041581A" w:rsidRPr="0041581A" w:rsidRDefault="0041581A" w:rsidP="0041581A">
      <w:pPr>
        <w:shd w:val="clear" w:color="auto" w:fill="FFFFFF"/>
        <w:spacing w:after="0" w:line="240" w:lineRule="auto"/>
        <w:rPr>
          <w:rFonts w:ascii="Tahoma" w:eastAsia="Times New Roman" w:hAnsi="Tahoma" w:cs="Tahoma"/>
          <w:color w:val="000000"/>
          <w:lang w:val="es-419"/>
        </w:rPr>
      </w:pPr>
      <w:r w:rsidRPr="0041581A">
        <w:rPr>
          <w:rFonts w:ascii="Tahoma" w:eastAsia="Times New Roman" w:hAnsi="Tahoma" w:cs="Tahoma"/>
          <w:color w:val="000000"/>
          <w:lang w:val="es-419"/>
        </w:rPr>
        <w:t>Al solicitar una tarjeta de crédito, considere lo siguiente:</w:t>
      </w:r>
    </w:p>
    <w:p w:rsidR="0041581A" w:rsidRPr="0041581A" w:rsidRDefault="0041581A" w:rsidP="0041581A">
      <w:pPr>
        <w:numPr>
          <w:ilvl w:val="0"/>
          <w:numId w:val="1"/>
        </w:numPr>
        <w:shd w:val="clear" w:color="auto" w:fill="FFFFFF"/>
        <w:spacing w:after="0" w:line="240" w:lineRule="auto"/>
        <w:rPr>
          <w:rFonts w:ascii="Tahoma" w:eastAsia="Times New Roman" w:hAnsi="Tahoma" w:cs="Tahoma"/>
          <w:color w:val="000000"/>
          <w:lang w:val="es-419"/>
        </w:rPr>
      </w:pPr>
      <w:r w:rsidRPr="0041581A">
        <w:rPr>
          <w:rFonts w:ascii="Tahoma" w:eastAsia="Times New Roman" w:hAnsi="Tahoma" w:cs="Tahoma"/>
          <w:b/>
          <w:bCs/>
          <w:color w:val="000000"/>
          <w:lang w:val="es-419"/>
        </w:rPr>
        <w:t>La tasa de interés anual (APR)</w:t>
      </w:r>
      <w:r w:rsidRPr="0041581A">
        <w:rPr>
          <w:rFonts w:ascii="Tahoma" w:eastAsia="Times New Roman" w:hAnsi="Tahoma" w:cs="Tahoma"/>
          <w:color w:val="000000"/>
          <w:lang w:val="es-419"/>
        </w:rPr>
        <w:t>. Si la tasa de interés es variable, pregunte cómo se determina y cuánto puede variar.</w:t>
      </w:r>
    </w:p>
    <w:p w:rsidR="0041581A" w:rsidRPr="0041581A" w:rsidRDefault="0041581A" w:rsidP="0041581A">
      <w:pPr>
        <w:numPr>
          <w:ilvl w:val="0"/>
          <w:numId w:val="1"/>
        </w:numPr>
        <w:shd w:val="clear" w:color="auto" w:fill="FFFFFF"/>
        <w:spacing w:after="0" w:line="240" w:lineRule="auto"/>
        <w:rPr>
          <w:rFonts w:ascii="Tahoma" w:eastAsia="Times New Roman" w:hAnsi="Tahoma" w:cs="Tahoma"/>
          <w:color w:val="000000"/>
          <w:lang w:val="es-419"/>
        </w:rPr>
      </w:pPr>
      <w:r w:rsidRPr="0041581A">
        <w:rPr>
          <w:rFonts w:ascii="Tahoma" w:eastAsia="Times New Roman" w:hAnsi="Tahoma" w:cs="Tahoma"/>
          <w:b/>
          <w:bCs/>
          <w:color w:val="000000"/>
          <w:lang w:val="es-419"/>
        </w:rPr>
        <w:t>La tasa periódica. </w:t>
      </w:r>
      <w:r w:rsidRPr="0041581A">
        <w:rPr>
          <w:rFonts w:ascii="Tahoma" w:eastAsia="Times New Roman" w:hAnsi="Tahoma" w:cs="Tahoma"/>
          <w:color w:val="000000"/>
          <w:lang w:val="es-419"/>
        </w:rPr>
        <w:t>Se trata de la tasa de interés utilizada para calcular los gastos de financiamiento sobre su saldo en cada período de facturación.</w:t>
      </w:r>
    </w:p>
    <w:p w:rsidR="0041581A" w:rsidRPr="0041581A" w:rsidRDefault="0041581A" w:rsidP="0041581A">
      <w:pPr>
        <w:numPr>
          <w:ilvl w:val="0"/>
          <w:numId w:val="1"/>
        </w:numPr>
        <w:shd w:val="clear" w:color="auto" w:fill="FFFFFF"/>
        <w:spacing w:after="0" w:line="240" w:lineRule="auto"/>
        <w:rPr>
          <w:rFonts w:ascii="Tahoma" w:eastAsia="Times New Roman" w:hAnsi="Tahoma" w:cs="Tahoma"/>
          <w:color w:val="000000"/>
          <w:lang w:val="es-419"/>
        </w:rPr>
      </w:pPr>
      <w:r w:rsidRPr="0041581A">
        <w:rPr>
          <w:rFonts w:ascii="Tahoma" w:eastAsia="Times New Roman" w:hAnsi="Tahoma" w:cs="Tahoma"/>
          <w:b/>
          <w:bCs/>
          <w:color w:val="000000"/>
          <w:lang w:val="es-419"/>
        </w:rPr>
        <w:t>La cuota de membresía anual.</w:t>
      </w:r>
      <w:r w:rsidRPr="0041581A">
        <w:rPr>
          <w:rFonts w:ascii="Tahoma" w:eastAsia="Times New Roman" w:hAnsi="Tahoma" w:cs="Tahoma"/>
          <w:color w:val="000000"/>
          <w:lang w:val="es-419"/>
        </w:rPr>
        <w:t> Algunas tarjetas le cobran una cantidad cada año por ser titular de la tarjeta de crédito.</w:t>
      </w:r>
    </w:p>
    <w:p w:rsidR="0041581A" w:rsidRPr="0041581A" w:rsidRDefault="0041581A" w:rsidP="0041581A">
      <w:pPr>
        <w:numPr>
          <w:ilvl w:val="0"/>
          <w:numId w:val="1"/>
        </w:numPr>
        <w:shd w:val="clear" w:color="auto" w:fill="FFFFFF"/>
        <w:spacing w:after="0" w:line="240" w:lineRule="auto"/>
        <w:rPr>
          <w:rFonts w:ascii="Tahoma" w:eastAsia="Times New Roman" w:hAnsi="Tahoma" w:cs="Tahoma"/>
          <w:color w:val="000000"/>
          <w:lang w:val="es-419"/>
        </w:rPr>
      </w:pPr>
      <w:r w:rsidRPr="0041581A">
        <w:rPr>
          <w:rFonts w:ascii="Tahoma" w:eastAsia="Times New Roman" w:hAnsi="Tahoma" w:cs="Tahoma"/>
          <w:b/>
          <w:bCs/>
          <w:color w:val="000000"/>
          <w:lang w:val="es-419"/>
        </w:rPr>
        <w:t>Programas de recompensas</w:t>
      </w:r>
      <w:r w:rsidRPr="0041581A">
        <w:rPr>
          <w:rFonts w:ascii="Tahoma" w:eastAsia="Times New Roman" w:hAnsi="Tahoma" w:cs="Tahoma"/>
          <w:color w:val="000000"/>
          <w:lang w:val="es-419"/>
        </w:rPr>
        <w:t>. Use los recursos en línea para encontrar la tarjeta que ofrece las recompensas que más le interesan.</w:t>
      </w:r>
    </w:p>
    <w:p w:rsidR="0041581A" w:rsidRPr="0041581A" w:rsidRDefault="0041581A" w:rsidP="0041581A">
      <w:pPr>
        <w:numPr>
          <w:ilvl w:val="0"/>
          <w:numId w:val="1"/>
        </w:numPr>
        <w:shd w:val="clear" w:color="auto" w:fill="FFFFFF"/>
        <w:spacing w:after="0" w:line="240" w:lineRule="auto"/>
        <w:rPr>
          <w:rFonts w:ascii="Tahoma" w:eastAsia="Times New Roman" w:hAnsi="Tahoma" w:cs="Tahoma"/>
          <w:color w:val="000000"/>
          <w:lang w:val="es-419"/>
        </w:rPr>
      </w:pPr>
      <w:r w:rsidRPr="0041581A">
        <w:rPr>
          <w:rFonts w:ascii="Tahoma" w:eastAsia="Times New Roman" w:hAnsi="Tahoma" w:cs="Tahoma"/>
          <w:b/>
          <w:bCs/>
          <w:color w:val="000000"/>
          <w:lang w:val="es-419"/>
        </w:rPr>
        <w:t>El período de gracia.</w:t>
      </w:r>
      <w:r w:rsidRPr="0041581A">
        <w:rPr>
          <w:rFonts w:ascii="Tahoma" w:eastAsia="Times New Roman" w:hAnsi="Tahoma" w:cs="Tahoma"/>
          <w:color w:val="000000"/>
          <w:lang w:val="es-419"/>
        </w:rPr>
        <w:t> Se trata de la cantidad de días de los que usted dispone para pagar la cuenta, antes de comenzar a correr los cargos por financiamiento. </w:t>
      </w:r>
    </w:p>
    <w:p w:rsidR="0041581A" w:rsidRPr="0041581A" w:rsidRDefault="0041581A" w:rsidP="0041581A">
      <w:pPr>
        <w:numPr>
          <w:ilvl w:val="0"/>
          <w:numId w:val="1"/>
        </w:numPr>
        <w:shd w:val="clear" w:color="auto" w:fill="FFFFFF"/>
        <w:spacing w:after="0" w:line="240" w:lineRule="auto"/>
        <w:rPr>
          <w:rFonts w:ascii="Tahoma" w:eastAsia="Times New Roman" w:hAnsi="Tahoma" w:cs="Tahoma"/>
          <w:color w:val="000000"/>
          <w:lang w:val="es-419"/>
        </w:rPr>
      </w:pPr>
      <w:r w:rsidRPr="0041581A">
        <w:rPr>
          <w:rFonts w:ascii="Tahoma" w:eastAsia="Times New Roman" w:hAnsi="Tahoma" w:cs="Tahoma"/>
          <w:b/>
          <w:bCs/>
          <w:color w:val="000000"/>
          <w:lang w:val="es-419"/>
        </w:rPr>
        <w:t>Los cargos por financiamiento. </w:t>
      </w:r>
      <w:r w:rsidRPr="0041581A">
        <w:rPr>
          <w:rFonts w:ascii="Tahoma" w:eastAsia="Times New Roman" w:hAnsi="Tahoma" w:cs="Tahoma"/>
          <w:color w:val="000000"/>
          <w:lang w:val="es-419"/>
        </w:rPr>
        <w:t>Es importante saber exactamente lo que está pagando en cargos de financiamiento. Por ley, las entidades financieras deben divulgar el método que utilizan. Para evitar pagar cargos por financiamiento en las compras con tarjetas de crédito pague su saldo adeudado cada mes. </w:t>
      </w:r>
    </w:p>
    <w:p w:rsidR="0041581A" w:rsidRPr="0041581A" w:rsidRDefault="0041581A" w:rsidP="0041581A">
      <w:pPr>
        <w:numPr>
          <w:ilvl w:val="0"/>
          <w:numId w:val="1"/>
        </w:numPr>
        <w:shd w:val="clear" w:color="auto" w:fill="FFFFFF"/>
        <w:spacing w:after="0" w:line="240" w:lineRule="auto"/>
        <w:rPr>
          <w:rFonts w:ascii="Tahoma" w:eastAsia="Times New Roman" w:hAnsi="Tahoma" w:cs="Tahoma"/>
          <w:color w:val="000000"/>
        </w:rPr>
      </w:pPr>
      <w:r w:rsidRPr="0041581A">
        <w:rPr>
          <w:rFonts w:ascii="Tahoma" w:eastAsia="Times New Roman" w:hAnsi="Tahoma" w:cs="Tahoma"/>
          <w:b/>
          <w:bCs/>
          <w:color w:val="000000"/>
          <w:lang w:val="es-419"/>
        </w:rPr>
        <w:t>Otros cargos</w:t>
      </w:r>
      <w:r w:rsidRPr="0041581A">
        <w:rPr>
          <w:rFonts w:ascii="Tahoma" w:eastAsia="Times New Roman" w:hAnsi="Tahoma" w:cs="Tahoma"/>
          <w:color w:val="000000"/>
          <w:lang w:val="es-419"/>
        </w:rPr>
        <w:t xml:space="preserve">. Averigüe si se cobran cargos especiales por adelantos de efectivo, por pagos fuera de plazo o por sobrepasar el límite de crédito. </w:t>
      </w:r>
      <w:proofErr w:type="spellStart"/>
      <w:r w:rsidRPr="0041581A">
        <w:rPr>
          <w:rFonts w:ascii="Tahoma" w:eastAsia="Times New Roman" w:hAnsi="Tahoma" w:cs="Tahoma"/>
          <w:color w:val="000000"/>
        </w:rPr>
        <w:t>Algunas</w:t>
      </w:r>
      <w:proofErr w:type="spellEnd"/>
      <w:r w:rsidRPr="0041581A">
        <w:rPr>
          <w:rFonts w:ascii="Tahoma" w:eastAsia="Times New Roman" w:hAnsi="Tahoma" w:cs="Tahoma"/>
          <w:color w:val="000000"/>
        </w:rPr>
        <w:t xml:space="preserve"> </w:t>
      </w:r>
      <w:proofErr w:type="spellStart"/>
      <w:r w:rsidRPr="0041581A">
        <w:rPr>
          <w:rFonts w:ascii="Tahoma" w:eastAsia="Times New Roman" w:hAnsi="Tahoma" w:cs="Tahoma"/>
          <w:color w:val="000000"/>
        </w:rPr>
        <w:t>compañías</w:t>
      </w:r>
      <w:proofErr w:type="spellEnd"/>
      <w:r w:rsidRPr="0041581A">
        <w:rPr>
          <w:rFonts w:ascii="Tahoma" w:eastAsia="Times New Roman" w:hAnsi="Tahoma" w:cs="Tahoma"/>
          <w:color w:val="000000"/>
        </w:rPr>
        <w:t xml:space="preserve"> </w:t>
      </w:r>
      <w:proofErr w:type="spellStart"/>
      <w:r w:rsidRPr="0041581A">
        <w:rPr>
          <w:rFonts w:ascii="Tahoma" w:eastAsia="Times New Roman" w:hAnsi="Tahoma" w:cs="Tahoma"/>
          <w:color w:val="000000"/>
        </w:rPr>
        <w:t>también</w:t>
      </w:r>
      <w:proofErr w:type="spellEnd"/>
      <w:r w:rsidRPr="0041581A">
        <w:rPr>
          <w:rFonts w:ascii="Tahoma" w:eastAsia="Times New Roman" w:hAnsi="Tahoma" w:cs="Tahoma"/>
          <w:color w:val="000000"/>
        </w:rPr>
        <w:t xml:space="preserve"> </w:t>
      </w:r>
      <w:proofErr w:type="spellStart"/>
      <w:r w:rsidRPr="0041581A">
        <w:rPr>
          <w:rFonts w:ascii="Tahoma" w:eastAsia="Times New Roman" w:hAnsi="Tahoma" w:cs="Tahoma"/>
          <w:color w:val="000000"/>
        </w:rPr>
        <w:t>cobran</w:t>
      </w:r>
      <w:proofErr w:type="spellEnd"/>
      <w:r w:rsidRPr="0041581A">
        <w:rPr>
          <w:rFonts w:ascii="Tahoma" w:eastAsia="Times New Roman" w:hAnsi="Tahoma" w:cs="Tahoma"/>
          <w:color w:val="000000"/>
        </w:rPr>
        <w:t xml:space="preserve"> </w:t>
      </w:r>
      <w:proofErr w:type="gramStart"/>
      <w:r w:rsidRPr="0041581A">
        <w:rPr>
          <w:rFonts w:ascii="Tahoma" w:eastAsia="Times New Roman" w:hAnsi="Tahoma" w:cs="Tahoma"/>
          <w:color w:val="000000"/>
        </w:rPr>
        <w:t>un</w:t>
      </w:r>
      <w:proofErr w:type="gramEnd"/>
      <w:r w:rsidRPr="0041581A">
        <w:rPr>
          <w:rFonts w:ascii="Tahoma" w:eastAsia="Times New Roman" w:hAnsi="Tahoma" w:cs="Tahoma"/>
          <w:color w:val="000000"/>
        </w:rPr>
        <w:t xml:space="preserve"> cargo </w:t>
      </w:r>
      <w:proofErr w:type="spellStart"/>
      <w:r w:rsidRPr="0041581A">
        <w:rPr>
          <w:rFonts w:ascii="Tahoma" w:eastAsia="Times New Roman" w:hAnsi="Tahoma" w:cs="Tahoma"/>
          <w:color w:val="000000"/>
        </w:rPr>
        <w:t>mensual</w:t>
      </w:r>
      <w:proofErr w:type="spellEnd"/>
      <w:r w:rsidRPr="0041581A">
        <w:rPr>
          <w:rFonts w:ascii="Tahoma" w:eastAsia="Times New Roman" w:hAnsi="Tahoma" w:cs="Tahoma"/>
          <w:color w:val="000000"/>
        </w:rPr>
        <w:t>.</w:t>
      </w:r>
    </w:p>
    <w:p w:rsidR="0041581A" w:rsidRDefault="0041581A" w:rsidP="0041581A">
      <w:pPr>
        <w:shd w:val="clear" w:color="auto" w:fill="FFFFFF"/>
        <w:spacing w:after="0" w:line="240" w:lineRule="auto"/>
        <w:rPr>
          <w:rFonts w:ascii="Tahoma" w:eastAsia="Times New Roman" w:hAnsi="Tahoma" w:cs="Tahoma"/>
          <w:color w:val="000000"/>
          <w:lang w:val="es-419"/>
        </w:rPr>
      </w:pPr>
      <w:r w:rsidRPr="0041581A">
        <w:rPr>
          <w:rFonts w:ascii="Tahoma" w:eastAsia="Times New Roman" w:hAnsi="Tahoma" w:cs="Tahoma"/>
          <w:color w:val="000000"/>
          <w:lang w:val="es-419"/>
        </w:rPr>
        <w:t>La </w:t>
      </w:r>
      <w:hyperlink r:id="rId18" w:history="1">
        <w:r w:rsidRPr="0041581A">
          <w:rPr>
            <w:rFonts w:ascii="Tahoma" w:eastAsia="Times New Roman" w:hAnsi="Tahoma" w:cs="Tahoma"/>
            <w:color w:val="595959"/>
            <w:u w:val="single"/>
            <w:lang w:val="es-419"/>
          </w:rPr>
          <w:t>Ley de Igualdad para la Oportunidad al Crédito</w:t>
        </w:r>
      </w:hyperlink>
      <w:r w:rsidRPr="0041581A">
        <w:rPr>
          <w:rFonts w:ascii="Tahoma" w:eastAsia="Times New Roman" w:hAnsi="Tahoma" w:cs="Tahoma"/>
          <w:color w:val="000000"/>
          <w:lang w:val="es-419"/>
        </w:rPr>
        <w:t> lo protege al tratar con entidades que suelen ofrecer crédito, incluyendo bancos, compañías financieras, tiendas, compañías de tarjetas de crédito y cooperativas de crédito.</w:t>
      </w:r>
    </w:p>
    <w:p w:rsidR="0041581A" w:rsidRPr="0041581A" w:rsidRDefault="0041581A" w:rsidP="0041581A">
      <w:pPr>
        <w:shd w:val="clear" w:color="auto" w:fill="FFFFFF"/>
        <w:spacing w:after="0" w:line="240" w:lineRule="auto"/>
        <w:rPr>
          <w:rFonts w:ascii="Tahoma" w:eastAsia="Times New Roman" w:hAnsi="Tahoma" w:cs="Tahoma"/>
          <w:color w:val="000000"/>
          <w:lang w:val="es-419"/>
        </w:rPr>
      </w:pPr>
    </w:p>
    <w:p w:rsidR="0041581A" w:rsidRPr="0041581A" w:rsidRDefault="0041581A" w:rsidP="0041581A">
      <w:pPr>
        <w:shd w:val="clear" w:color="auto" w:fill="FFFFFF"/>
        <w:spacing w:after="0" w:line="240" w:lineRule="auto"/>
        <w:outlineLvl w:val="3"/>
        <w:rPr>
          <w:rFonts w:ascii="Tahoma" w:eastAsia="Times New Roman" w:hAnsi="Tahoma" w:cs="Tahoma"/>
          <w:b/>
          <w:bCs/>
          <w:color w:val="000000"/>
          <w:lang w:val="es-419"/>
        </w:rPr>
      </w:pPr>
      <w:r w:rsidRPr="0041581A">
        <w:rPr>
          <w:rFonts w:ascii="Tahoma" w:eastAsia="Times New Roman" w:hAnsi="Tahoma" w:cs="Tahoma"/>
          <w:b/>
          <w:bCs/>
          <w:color w:val="000000"/>
          <w:lang w:val="es-419"/>
        </w:rPr>
        <w:t>Cómo disputar cargos</w:t>
      </w:r>
    </w:p>
    <w:p w:rsidR="0041581A" w:rsidRPr="0041581A" w:rsidRDefault="0041581A" w:rsidP="0041581A">
      <w:pPr>
        <w:shd w:val="clear" w:color="auto" w:fill="FFFFFF"/>
        <w:spacing w:after="0" w:line="240" w:lineRule="auto"/>
        <w:rPr>
          <w:rFonts w:ascii="Tahoma" w:eastAsia="Times New Roman" w:hAnsi="Tahoma" w:cs="Tahoma"/>
          <w:color w:val="000000"/>
        </w:rPr>
      </w:pPr>
      <w:r w:rsidRPr="0041581A">
        <w:rPr>
          <w:rFonts w:ascii="Tahoma" w:eastAsia="Times New Roman" w:hAnsi="Tahoma" w:cs="Tahoma"/>
          <w:color w:val="000000"/>
          <w:lang w:val="es-419"/>
        </w:rPr>
        <w:t xml:space="preserve">La Ley de Facturación Justa de Crédito le da el derecho a disputar cargos que aparecen en su tarjeta de crédito que son incorrectos, que usted no hizo o que se tratan de bienes o servicios que no recibió. </w:t>
      </w:r>
      <w:proofErr w:type="spellStart"/>
      <w:r w:rsidRPr="0041581A">
        <w:rPr>
          <w:rFonts w:ascii="Tahoma" w:eastAsia="Times New Roman" w:hAnsi="Tahoma" w:cs="Tahoma"/>
          <w:color w:val="000000"/>
        </w:rPr>
        <w:t>Siga</w:t>
      </w:r>
      <w:proofErr w:type="spellEnd"/>
      <w:r w:rsidRPr="0041581A">
        <w:rPr>
          <w:rFonts w:ascii="Tahoma" w:eastAsia="Times New Roman" w:hAnsi="Tahoma" w:cs="Tahoma"/>
          <w:color w:val="000000"/>
        </w:rPr>
        <w:t xml:space="preserve"> </w:t>
      </w:r>
      <w:proofErr w:type="spellStart"/>
      <w:r w:rsidRPr="0041581A">
        <w:rPr>
          <w:rFonts w:ascii="Tahoma" w:eastAsia="Times New Roman" w:hAnsi="Tahoma" w:cs="Tahoma"/>
          <w:color w:val="000000"/>
        </w:rPr>
        <w:t>los</w:t>
      </w:r>
      <w:proofErr w:type="spellEnd"/>
      <w:r w:rsidRPr="0041581A">
        <w:rPr>
          <w:rFonts w:ascii="Tahoma" w:eastAsia="Times New Roman" w:hAnsi="Tahoma" w:cs="Tahoma"/>
          <w:color w:val="000000"/>
        </w:rPr>
        <w:t xml:space="preserve"> </w:t>
      </w:r>
      <w:proofErr w:type="spellStart"/>
      <w:proofErr w:type="gramStart"/>
      <w:r w:rsidRPr="0041581A">
        <w:rPr>
          <w:rFonts w:ascii="Tahoma" w:eastAsia="Times New Roman" w:hAnsi="Tahoma" w:cs="Tahoma"/>
          <w:color w:val="000000"/>
        </w:rPr>
        <w:t>siguientes</w:t>
      </w:r>
      <w:proofErr w:type="spellEnd"/>
      <w:proofErr w:type="gramEnd"/>
      <w:r w:rsidRPr="0041581A">
        <w:rPr>
          <w:rFonts w:ascii="Tahoma" w:eastAsia="Times New Roman" w:hAnsi="Tahoma" w:cs="Tahoma"/>
          <w:color w:val="000000"/>
        </w:rPr>
        <w:t xml:space="preserve"> </w:t>
      </w:r>
      <w:proofErr w:type="spellStart"/>
      <w:r w:rsidRPr="0041581A">
        <w:rPr>
          <w:rFonts w:ascii="Tahoma" w:eastAsia="Times New Roman" w:hAnsi="Tahoma" w:cs="Tahoma"/>
          <w:color w:val="000000"/>
        </w:rPr>
        <w:t>pasos</w:t>
      </w:r>
      <w:proofErr w:type="spellEnd"/>
      <w:r w:rsidRPr="0041581A">
        <w:rPr>
          <w:rFonts w:ascii="Tahoma" w:eastAsia="Times New Roman" w:hAnsi="Tahoma" w:cs="Tahoma"/>
          <w:color w:val="000000"/>
        </w:rPr>
        <w:t>:</w:t>
      </w:r>
    </w:p>
    <w:p w:rsidR="0041581A" w:rsidRPr="0041581A" w:rsidRDefault="0041581A" w:rsidP="0041581A">
      <w:pPr>
        <w:numPr>
          <w:ilvl w:val="0"/>
          <w:numId w:val="2"/>
        </w:numPr>
        <w:shd w:val="clear" w:color="auto" w:fill="FFFFFF"/>
        <w:spacing w:after="0" w:line="240" w:lineRule="auto"/>
        <w:rPr>
          <w:rFonts w:ascii="Tahoma" w:eastAsia="Times New Roman" w:hAnsi="Tahoma" w:cs="Tahoma"/>
          <w:color w:val="000000"/>
          <w:lang w:val="es-419"/>
        </w:rPr>
      </w:pPr>
      <w:r w:rsidRPr="0041581A">
        <w:rPr>
          <w:rFonts w:ascii="Tahoma" w:eastAsia="Times New Roman" w:hAnsi="Tahoma" w:cs="Tahoma"/>
          <w:color w:val="000000"/>
          <w:lang w:val="es-419"/>
        </w:rPr>
        <w:t>Envíe una carta al acreedor dentro de los 60 días de la fecha en que se emitió la factura.</w:t>
      </w:r>
    </w:p>
    <w:p w:rsidR="0041581A" w:rsidRPr="0041581A" w:rsidRDefault="0041581A" w:rsidP="0041581A">
      <w:pPr>
        <w:numPr>
          <w:ilvl w:val="0"/>
          <w:numId w:val="2"/>
        </w:numPr>
        <w:shd w:val="clear" w:color="auto" w:fill="FFFFFF"/>
        <w:spacing w:after="0" w:line="240" w:lineRule="auto"/>
        <w:rPr>
          <w:rFonts w:ascii="Tahoma" w:eastAsia="Times New Roman" w:hAnsi="Tahoma" w:cs="Tahoma"/>
          <w:color w:val="000000"/>
          <w:lang w:val="es-419"/>
        </w:rPr>
      </w:pPr>
      <w:r w:rsidRPr="0041581A">
        <w:rPr>
          <w:rFonts w:ascii="Tahoma" w:eastAsia="Times New Roman" w:hAnsi="Tahoma" w:cs="Tahoma"/>
          <w:color w:val="000000"/>
          <w:lang w:val="es-419"/>
        </w:rPr>
        <w:t>Incluya su nombre, el número de su cuenta, la fecha y la cantidad del cargo en disputa, así como una explicación de por qué está usted disputando el cargo. Envíe su carta por correo certificado y solicite el acuse recibo.</w:t>
      </w:r>
    </w:p>
    <w:p w:rsidR="0041581A" w:rsidRPr="0041581A" w:rsidRDefault="0041581A" w:rsidP="0041581A">
      <w:pPr>
        <w:numPr>
          <w:ilvl w:val="0"/>
          <w:numId w:val="2"/>
        </w:numPr>
        <w:shd w:val="clear" w:color="auto" w:fill="FFFFFF"/>
        <w:spacing w:after="0" w:line="240" w:lineRule="auto"/>
        <w:rPr>
          <w:rFonts w:ascii="Tahoma" w:eastAsia="Times New Roman" w:hAnsi="Tahoma" w:cs="Tahoma"/>
          <w:color w:val="000000"/>
          <w:lang w:val="es-419"/>
        </w:rPr>
      </w:pPr>
      <w:r w:rsidRPr="0041581A">
        <w:rPr>
          <w:rFonts w:ascii="Tahoma" w:eastAsia="Times New Roman" w:hAnsi="Tahoma" w:cs="Tahoma"/>
          <w:color w:val="000000"/>
          <w:lang w:val="es-419"/>
        </w:rPr>
        <w:t>El acreedor o emisor de la tarjeta debe acusar recibo de su carta por escrito dentro de los 30 días de haberla recibido y realizar una investigación dentro de 90 días. Usted no tiene que pagar la cantidad en disputa durante la investigación.</w:t>
      </w:r>
    </w:p>
    <w:p w:rsidR="0041581A" w:rsidRPr="0041581A" w:rsidRDefault="0041581A" w:rsidP="0041581A">
      <w:pPr>
        <w:numPr>
          <w:ilvl w:val="0"/>
          <w:numId w:val="2"/>
        </w:numPr>
        <w:shd w:val="clear" w:color="auto" w:fill="FFFFFF"/>
        <w:spacing w:after="0" w:line="240" w:lineRule="auto"/>
        <w:rPr>
          <w:rFonts w:ascii="Tahoma" w:eastAsia="Times New Roman" w:hAnsi="Tahoma" w:cs="Tahoma"/>
          <w:color w:val="000000"/>
          <w:lang w:val="es-419"/>
        </w:rPr>
      </w:pPr>
      <w:r w:rsidRPr="0041581A">
        <w:rPr>
          <w:rFonts w:ascii="Tahoma" w:eastAsia="Times New Roman" w:hAnsi="Tahoma" w:cs="Tahoma"/>
          <w:color w:val="000000"/>
          <w:lang w:val="es-419"/>
        </w:rPr>
        <w:t>Si hubo un error, el acreedor debe acreditar su cuenta y eliminar cualquier multa o costo asociado.</w:t>
      </w:r>
    </w:p>
    <w:p w:rsidR="0041581A" w:rsidRPr="0041581A" w:rsidRDefault="0041581A" w:rsidP="0041581A">
      <w:pPr>
        <w:numPr>
          <w:ilvl w:val="0"/>
          <w:numId w:val="2"/>
        </w:numPr>
        <w:shd w:val="clear" w:color="auto" w:fill="FFFFFF"/>
        <w:spacing w:after="0" w:line="240" w:lineRule="auto"/>
        <w:rPr>
          <w:rFonts w:ascii="Tahoma" w:eastAsia="Times New Roman" w:hAnsi="Tahoma" w:cs="Tahoma"/>
          <w:color w:val="000000"/>
          <w:lang w:val="es-419"/>
        </w:rPr>
      </w:pPr>
      <w:r w:rsidRPr="0041581A">
        <w:rPr>
          <w:rFonts w:ascii="Tahoma" w:eastAsia="Times New Roman" w:hAnsi="Tahoma" w:cs="Tahoma"/>
          <w:color w:val="000000"/>
          <w:lang w:val="es-419"/>
        </w:rPr>
        <w:t>Si la factura está correcta, a usted le deben notificar por escrito cuánto debe y por qué. Usted debe pagar lo adeudado y cualquier cargo financiero asociado.</w:t>
      </w:r>
    </w:p>
    <w:p w:rsidR="0041581A" w:rsidRPr="0041581A" w:rsidRDefault="0041581A" w:rsidP="0041581A">
      <w:pPr>
        <w:numPr>
          <w:ilvl w:val="0"/>
          <w:numId w:val="2"/>
        </w:numPr>
        <w:shd w:val="clear" w:color="auto" w:fill="FFFFFF"/>
        <w:spacing w:after="0" w:line="240" w:lineRule="auto"/>
        <w:rPr>
          <w:rFonts w:ascii="Tahoma" w:eastAsia="Times New Roman" w:hAnsi="Tahoma" w:cs="Tahoma"/>
          <w:color w:val="000000"/>
          <w:lang w:val="es-419"/>
        </w:rPr>
      </w:pPr>
      <w:r w:rsidRPr="0041581A">
        <w:rPr>
          <w:rFonts w:ascii="Tahoma" w:eastAsia="Times New Roman" w:hAnsi="Tahoma" w:cs="Tahoma"/>
          <w:color w:val="000000"/>
          <w:lang w:val="es-419"/>
        </w:rPr>
        <w:t>Siga este modelo de </w:t>
      </w:r>
      <w:hyperlink r:id="rId19" w:history="1">
        <w:r w:rsidRPr="0041581A">
          <w:rPr>
            <w:rFonts w:ascii="Tahoma" w:eastAsia="Times New Roman" w:hAnsi="Tahoma" w:cs="Tahoma"/>
            <w:color w:val="595959"/>
            <w:u w:val="single"/>
            <w:lang w:val="es-419"/>
          </w:rPr>
          <w:t>carta para presentar una queja.</w:t>
        </w:r>
      </w:hyperlink>
      <w:r w:rsidRPr="0041581A">
        <w:rPr>
          <w:rFonts w:ascii="Tahoma" w:eastAsia="Times New Roman" w:hAnsi="Tahoma" w:cs="Tahoma"/>
          <w:color w:val="000000"/>
          <w:lang w:val="es-419"/>
        </w:rPr>
        <w:t> </w:t>
      </w:r>
    </w:p>
    <w:p w:rsidR="0041581A" w:rsidRDefault="0041581A" w:rsidP="0041581A">
      <w:pPr>
        <w:spacing w:after="0" w:line="240" w:lineRule="auto"/>
        <w:rPr>
          <w:lang w:val="es-419"/>
        </w:rPr>
      </w:pPr>
    </w:p>
    <w:p w:rsidR="0041581A" w:rsidRDefault="0041581A" w:rsidP="0041581A">
      <w:pPr>
        <w:spacing w:after="0" w:line="240" w:lineRule="auto"/>
        <w:rPr>
          <w:lang w:val="es-419"/>
        </w:rPr>
      </w:pPr>
      <w:hyperlink r:id="rId20" w:history="1">
        <w:r w:rsidRPr="00FA7D23">
          <w:rPr>
            <w:rStyle w:val="Hyperlink"/>
            <w:lang w:val="es-419"/>
          </w:rPr>
          <w:t>https://gobierno.usa.gov/credito</w:t>
        </w:r>
      </w:hyperlink>
    </w:p>
    <w:p w:rsidR="0041581A" w:rsidRPr="0041581A" w:rsidRDefault="0041581A" w:rsidP="0041581A">
      <w:pPr>
        <w:spacing w:after="0" w:line="240" w:lineRule="auto"/>
        <w:rPr>
          <w:lang w:val="es-419"/>
        </w:rPr>
      </w:pPr>
      <w:bookmarkStart w:id="0" w:name="_GoBack"/>
      <w:bookmarkEnd w:id="0"/>
    </w:p>
    <w:sectPr w:rsidR="0041581A" w:rsidRPr="0041581A" w:rsidSect="004158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53AB"/>
    <w:multiLevelType w:val="multilevel"/>
    <w:tmpl w:val="1522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B50A49"/>
    <w:multiLevelType w:val="multilevel"/>
    <w:tmpl w:val="7F22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1A"/>
    <w:rsid w:val="0041581A"/>
    <w:rsid w:val="00C4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1C2B8-8436-453D-A2CC-20F2EF95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8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76202">
      <w:bodyDiv w:val="1"/>
      <w:marLeft w:val="0"/>
      <w:marRight w:val="0"/>
      <w:marTop w:val="0"/>
      <w:marBottom w:val="0"/>
      <w:divBdr>
        <w:top w:val="none" w:sz="0" w:space="0" w:color="auto"/>
        <w:left w:val="none" w:sz="0" w:space="0" w:color="auto"/>
        <w:bottom w:val="none" w:sz="0" w:space="0" w:color="auto"/>
        <w:right w:val="none" w:sz="0" w:space="0" w:color="auto"/>
      </w:divBdr>
    </w:div>
    <w:div w:id="754938946">
      <w:bodyDiv w:val="1"/>
      <w:marLeft w:val="0"/>
      <w:marRight w:val="0"/>
      <w:marTop w:val="0"/>
      <w:marBottom w:val="0"/>
      <w:divBdr>
        <w:top w:val="none" w:sz="0" w:space="0" w:color="auto"/>
        <w:left w:val="none" w:sz="0" w:space="0" w:color="auto"/>
        <w:bottom w:val="none" w:sz="0" w:space="0" w:color="auto"/>
        <w:right w:val="none" w:sz="0" w:space="0" w:color="auto"/>
      </w:divBdr>
      <w:divsChild>
        <w:div w:id="1241675245">
          <w:marLeft w:val="0"/>
          <w:marRight w:val="0"/>
          <w:marTop w:val="0"/>
          <w:marBottom w:val="525"/>
          <w:divBdr>
            <w:top w:val="none" w:sz="0" w:space="0" w:color="auto"/>
            <w:left w:val="none" w:sz="0" w:space="0" w:color="auto"/>
            <w:bottom w:val="none" w:sz="0" w:space="0" w:color="auto"/>
            <w:right w:val="none" w:sz="0" w:space="0" w:color="auto"/>
          </w:divBdr>
          <w:divsChild>
            <w:div w:id="504168680">
              <w:marLeft w:val="0"/>
              <w:marRight w:val="0"/>
              <w:marTop w:val="0"/>
              <w:marBottom w:val="0"/>
              <w:divBdr>
                <w:top w:val="none" w:sz="0" w:space="0" w:color="auto"/>
                <w:left w:val="none" w:sz="0" w:space="0" w:color="auto"/>
                <w:bottom w:val="none" w:sz="0" w:space="0" w:color="auto"/>
                <w:right w:val="none" w:sz="0" w:space="0" w:color="auto"/>
              </w:divBdr>
              <w:divsChild>
                <w:div w:id="5354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usercontent.com/translate_c?hl=en&amp;rurl=translate.google.com&amp;sl=auto&amp;tl=es&amp;twu=1&amp;u=http://www.bankrate.com/&amp;usg=ALkJrhi1DW4eNR4T7XwL-nCbyq3r_xkkzQ" TargetMode="External"/><Relationship Id="rId13" Type="http://schemas.openxmlformats.org/officeDocument/2006/relationships/hyperlink" Target="http://www.deuda.org" TargetMode="External"/><Relationship Id="rId18" Type="http://schemas.openxmlformats.org/officeDocument/2006/relationships/hyperlink" Target="http://www.consumidor.ftc.gov/articulos/s0347-sus-derechos-de-igualdad-de-oportunidad-de-credit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uda.org/%C2%BFcual-es-la-mejor-manera-de-establecer-un-historial-de-credito/" TargetMode="External"/><Relationship Id="rId12" Type="http://schemas.openxmlformats.org/officeDocument/2006/relationships/hyperlink" Target="http://translate.googleusercontent.com/translate_c?hl=en&amp;rurl=translate.google.com&amp;sl=auto&amp;tl=es&amp;twu=1&amp;u=http://www.credco.com/&amp;usg=ALkJrhgLL-RpjnN4qZKUzuCGbDwvFssYqg" TargetMode="External"/><Relationship Id="rId17" Type="http://schemas.openxmlformats.org/officeDocument/2006/relationships/hyperlink" Target="http://www.consumidor.ftc.gov/temas/credito-y-prestamos" TargetMode="External"/><Relationship Id="rId2" Type="http://schemas.openxmlformats.org/officeDocument/2006/relationships/styles" Target="styles.xml"/><Relationship Id="rId16" Type="http://schemas.openxmlformats.org/officeDocument/2006/relationships/hyperlink" Target="http://www.consumerfinance.gov/es/obtener-respuestas/c/ensenar-a-otros/1643/quiero-ayudar-a-mi-hija-a-iniciar-su-historial-de-credito.html" TargetMode="External"/><Relationship Id="rId20" Type="http://schemas.openxmlformats.org/officeDocument/2006/relationships/hyperlink" Target="https://gobierno.usa.gov/credito" TargetMode="External"/><Relationship Id="rId1" Type="http://schemas.openxmlformats.org/officeDocument/2006/relationships/numbering" Target="numbering.xml"/><Relationship Id="rId6" Type="http://schemas.openxmlformats.org/officeDocument/2006/relationships/hyperlink" Target="http://www.deuda.org/category/consejos/" TargetMode="External"/><Relationship Id="rId11" Type="http://schemas.openxmlformats.org/officeDocument/2006/relationships/hyperlink" Target="http://translate.googleusercontent.com/translate_c?hl=en&amp;rurl=translate.google.com&amp;sl=auto&amp;tl=es&amp;twu=1&amp;u=http://www.rentreporters.com/&amp;usg=ALkJrhhXIJAFM8l2IdqAxv7vhp8iLwV7zw" TargetMode="External"/><Relationship Id="rId5" Type="http://schemas.openxmlformats.org/officeDocument/2006/relationships/hyperlink" Target="http://www.deuda.org/tag/credito/" TargetMode="External"/><Relationship Id="rId15" Type="http://schemas.openxmlformats.org/officeDocument/2006/relationships/hyperlink" Target="http://www.consumerfinance.gov/es/obtener-respuestas/c/adquirir-credito/318/como-puedo-obtener-y-mantener-una-buena-puntaje-de-credito.html" TargetMode="External"/><Relationship Id="rId10" Type="http://schemas.openxmlformats.org/officeDocument/2006/relationships/hyperlink" Target="http://translate.googleusercontent.com/translate_c?hl=en&amp;rurl=translate.google.com&amp;sl=auto&amp;tl=es&amp;twu=1&amp;u=http://www.prbc.com/&amp;usg=ALkJrhhIb4x9hevu83GU0o8I7UlKhKb5SQ" TargetMode="External"/><Relationship Id="rId19" Type="http://schemas.openxmlformats.org/officeDocument/2006/relationships/hyperlink" Target="https://gobierno.usa.gov/quejas-servicios" TargetMode="External"/><Relationship Id="rId4" Type="http://schemas.openxmlformats.org/officeDocument/2006/relationships/webSettings" Target="webSettings.xml"/><Relationship Id="rId9" Type="http://schemas.openxmlformats.org/officeDocument/2006/relationships/hyperlink" Target="http://translate.googleusercontent.com/translate_c?hl=en&amp;rurl=translate.google.com&amp;sl=auto&amp;tl=es&amp;twu=1&amp;u=http://www.myfico.com/&amp;usg=ALkJrhgrvBlQ6KIcUp6Uak5C0ss3yxUSOg" TargetMode="External"/><Relationship Id="rId14" Type="http://schemas.openxmlformats.org/officeDocument/2006/relationships/hyperlink" Target="https://www.consumidor.gov/articulos/s1009-su-historial-de-credit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 Claudia</dc:creator>
  <cp:keywords/>
  <dc:description/>
  <cp:lastModifiedBy>Bautista, Claudia</cp:lastModifiedBy>
  <cp:revision>1</cp:revision>
  <dcterms:created xsi:type="dcterms:W3CDTF">2016-10-13T14:54:00Z</dcterms:created>
  <dcterms:modified xsi:type="dcterms:W3CDTF">2016-10-13T14:57:00Z</dcterms:modified>
</cp:coreProperties>
</file>